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1155cc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District English Learner Advisory Committee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Organizational Meeting 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September 7, 2023</w:t>
      </w:r>
    </w:p>
    <w:p w:rsidR="00000000" w:rsidDel="00000000" w:rsidP="00000000" w:rsidRDefault="00000000" w:rsidRPr="00000000" w14:paraId="00000006">
      <w:pPr>
        <w:spacing w:line="276" w:lineRule="auto"/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5:30PM 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Welcome and Overview of the Agenda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Membership Training and Roles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Priorities for the Year:</w:t>
      </w:r>
    </w:p>
    <w:p w:rsidR="00000000" w:rsidDel="00000000" w:rsidP="00000000" w:rsidRDefault="00000000" w:rsidRPr="00000000" w14:paraId="0000000B">
      <w:pPr>
        <w:spacing w:line="276" w:lineRule="auto"/>
        <w:ind w:left="72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-RFEP Monitoring and Placement Criteria</w:t>
      </w:r>
    </w:p>
    <w:p w:rsidR="00000000" w:rsidDel="00000000" w:rsidP="00000000" w:rsidRDefault="00000000" w:rsidRPr="00000000" w14:paraId="0000000C">
      <w:pPr>
        <w:spacing w:line="276" w:lineRule="auto"/>
        <w:ind w:left="72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-Monitoring of ELD Curriculum</w:t>
      </w:r>
    </w:p>
    <w:p w:rsidR="00000000" w:rsidDel="00000000" w:rsidP="00000000" w:rsidRDefault="00000000" w:rsidRPr="00000000" w14:paraId="0000000D">
      <w:pPr>
        <w:spacing w:line="276" w:lineRule="auto"/>
        <w:ind w:left="720" w:firstLine="0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-Developing UPA English Learner Master Plan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highlight w:val="white"/>
          <w:u w:val="non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Closing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Next Meeting:</w:t>
      </w:r>
    </w:p>
    <w:p w:rsidR="00000000" w:rsidDel="00000000" w:rsidP="00000000" w:rsidRDefault="00000000" w:rsidRPr="00000000" w14:paraId="00000012">
      <w:pPr>
        <w:spacing w:line="276" w:lineRule="auto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September 27, 2023</w:t>
      </w:r>
    </w:p>
    <w:p w:rsidR="00000000" w:rsidDel="00000000" w:rsidP="00000000" w:rsidRDefault="00000000" w:rsidRPr="00000000" w14:paraId="00000013">
      <w:pPr>
        <w:spacing w:line="276" w:lineRule="auto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5:30 PM UPA Multipurpose Room 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 w:orient="portrait"/>
      <w:pgMar w:bottom="720" w:top="360" w:left="720" w:right="720" w:header="273.6" w:footer="273.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80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160"/>
      <w:gridCol w:w="2160"/>
      <w:gridCol w:w="2160"/>
      <w:gridCol w:w="2160"/>
      <w:gridCol w:w="2160"/>
      <w:tblGridChange w:id="0">
        <w:tblGrid>
          <w:gridCol w:w="2160"/>
          <w:gridCol w:w="2160"/>
          <w:gridCol w:w="2160"/>
          <w:gridCol w:w="2160"/>
          <w:gridCol w:w="216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David Porter</w:t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Executive Director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Andrew Yau</w:t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Director of Alumni Outreach &amp; Student Support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Jean Mastrogiacomo</w:t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Director of Curriculum &amp;</w:t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Instruction</w:t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Lucas Kelleher</w:t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Director of Student </w:t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     Services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Alisha Hill</w:t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color w:val="a6a6a6"/>
              <w:sz w:val="16"/>
              <w:szCs w:val="16"/>
              <w:rtl w:val="0"/>
            </w:rPr>
            <w:t xml:space="preserve">Dean of Student Services</w:t>
          </w:r>
        </w:p>
        <w:p w:rsidR="00000000" w:rsidDel="00000000" w:rsidP="00000000" w:rsidRDefault="00000000" w:rsidRPr="00000000" w14:paraId="0000002D">
          <w:pPr>
            <w:widowControl w:val="0"/>
            <w:rPr>
              <w:color w:val="a6a6a6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tabs>
        <w:tab w:val="center" w:leader="none" w:pos="4680"/>
        <w:tab w:val="right" w:leader="none" w:pos="9360"/>
      </w:tabs>
      <w:jc w:val="center"/>
      <w:rPr/>
    </w:pPr>
    <w:r w:rsidDel="00000000" w:rsidR="00000000" w:rsidRPr="00000000">
      <w:rPr/>
      <w:drawing>
        <wp:inline distB="0" distT="0" distL="0" distR="0">
          <wp:extent cx="2464571" cy="897083"/>
          <wp:effectExtent b="0" l="0" r="0" t="0"/>
          <wp:docPr descr="C:\Users\dot\AppData\Local\Microsoft\Windows\INetCache\Content.Word\UPA_Logo.trans.png" id="1" name="image1.png"/>
          <a:graphic>
            <a:graphicData uri="http://schemas.openxmlformats.org/drawingml/2006/picture">
              <pic:pic>
                <pic:nvPicPr>
                  <pic:cNvPr descr="C:\Users\dot\AppData\Local\Microsoft\Windows\INetCache\Content.Word\UPA_Logo.trans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64571" cy="897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center" w:leader="none" w:pos="4680"/>
        <w:tab w:val="right" w:leader="none" w:pos="9360"/>
      </w:tabs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tabs>
        <w:tab w:val="center" w:leader="none" w:pos="4680"/>
        <w:tab w:val="right" w:leader="none" w:pos="9360"/>
      </w:tabs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1f4e79"/>
        <w:sz w:val="22"/>
        <w:szCs w:val="22"/>
        <w:u w:val="none"/>
        <w:shd w:fill="auto" w:val="clear"/>
        <w:vertAlign w:val="baseline"/>
        <w:rtl w:val="0"/>
      </w:rPr>
      <w:t xml:space="preserve">2315 Canoas Garden Ave, San Jose, CA 95125 - Phone: 408.723.1839 - Fax: 408.440.3284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